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C0" w:rsidRDefault="002120C0" w:rsidP="006C39FC">
      <w:pPr>
        <w:keepNext/>
        <w:keepLines/>
        <w:spacing w:before="480" w:after="0"/>
        <w:jc w:val="center"/>
        <w:outlineLvl w:val="0"/>
        <w:rPr>
          <w:rFonts w:ascii="Cambria" w:hAnsi="Cambria"/>
          <w:b/>
          <w:bCs/>
          <w:color w:val="365F91"/>
          <w:sz w:val="28"/>
          <w:szCs w:val="28"/>
        </w:rPr>
      </w:pPr>
    </w:p>
    <w:p w:rsidR="002120C0" w:rsidRPr="006C39FC" w:rsidRDefault="002120C0" w:rsidP="006C39FC">
      <w:pPr>
        <w:jc w:val="both"/>
        <w:rPr>
          <w:u w:val="single"/>
        </w:rPr>
      </w:pPr>
    </w:p>
    <w:p w:rsidR="002120C0" w:rsidRDefault="002120C0" w:rsidP="00081537">
      <w:pPr>
        <w:spacing w:line="480" w:lineRule="auto"/>
        <w:jc w:val="both"/>
        <w:rPr>
          <w:sz w:val="24"/>
          <w:szCs w:val="24"/>
        </w:rPr>
      </w:pPr>
      <w:r>
        <w:rPr>
          <w:sz w:val="24"/>
          <w:szCs w:val="24"/>
        </w:rPr>
        <w:t>Mesdames, Messieurs,</w:t>
      </w:r>
    </w:p>
    <w:p w:rsidR="002120C0" w:rsidRDefault="002120C0" w:rsidP="00081537">
      <w:pPr>
        <w:spacing w:line="480" w:lineRule="auto"/>
        <w:jc w:val="both"/>
        <w:rPr>
          <w:sz w:val="24"/>
          <w:szCs w:val="24"/>
        </w:rPr>
      </w:pPr>
      <w:r>
        <w:rPr>
          <w:i/>
          <w:sz w:val="24"/>
          <w:szCs w:val="24"/>
        </w:rPr>
        <w:t xml:space="preserve"> « </w:t>
      </w:r>
      <w:r w:rsidRPr="00870C43">
        <w:rPr>
          <w:i/>
          <w:sz w:val="24"/>
          <w:szCs w:val="24"/>
        </w:rPr>
        <w:t>L’Europe investit dans le logement socia</w:t>
      </w:r>
      <w:r>
        <w:rPr>
          <w:i/>
          <w:sz w:val="24"/>
          <w:szCs w:val="24"/>
        </w:rPr>
        <w:t>l »,</w:t>
      </w:r>
      <w:r>
        <w:rPr>
          <w:sz w:val="24"/>
          <w:szCs w:val="24"/>
        </w:rPr>
        <w:t xml:space="preserve"> c’était le titre de cette conférence et je crois que l’on peut dire en conclusion que l’Europe a bien raison de faire confiance au logement social.</w:t>
      </w:r>
    </w:p>
    <w:p w:rsidR="002120C0" w:rsidRDefault="002120C0" w:rsidP="00081537">
      <w:pPr>
        <w:spacing w:line="480" w:lineRule="auto"/>
        <w:jc w:val="both"/>
        <w:rPr>
          <w:sz w:val="24"/>
          <w:szCs w:val="24"/>
        </w:rPr>
      </w:pPr>
    </w:p>
    <w:p w:rsidR="002120C0" w:rsidRDefault="002120C0" w:rsidP="00081537">
      <w:pPr>
        <w:spacing w:line="480" w:lineRule="auto"/>
        <w:jc w:val="both"/>
        <w:rPr>
          <w:sz w:val="24"/>
          <w:szCs w:val="24"/>
        </w:rPr>
      </w:pPr>
      <w:r>
        <w:rPr>
          <w:sz w:val="24"/>
          <w:szCs w:val="24"/>
        </w:rPr>
        <w:t>Elle a eu bien raison tout d’abord en 2008 de lever l’inéligibilité qui frappait le logement dans le règlement du Feder pour pouvoir relancer l’activité au début de la crise, puisque cela a permis,</w:t>
      </w:r>
      <w:r w:rsidRPr="006C39FC">
        <w:rPr>
          <w:sz w:val="24"/>
          <w:szCs w:val="24"/>
        </w:rPr>
        <w:t xml:space="preserve"> comme l’a rappelé le Président Jean-Louis Dumont </w:t>
      </w:r>
      <w:r>
        <w:rPr>
          <w:sz w:val="24"/>
          <w:szCs w:val="24"/>
        </w:rPr>
        <w:t xml:space="preserve">ce matin </w:t>
      </w:r>
      <w:r w:rsidRPr="006C39FC">
        <w:rPr>
          <w:sz w:val="24"/>
          <w:szCs w:val="24"/>
        </w:rPr>
        <w:t>en ouverture,</w:t>
      </w:r>
      <w:r>
        <w:rPr>
          <w:sz w:val="24"/>
          <w:szCs w:val="24"/>
        </w:rPr>
        <w:t xml:space="preserve"> de générer 1,2 Milliard d’euros d’investissement et 17 000 emplois rien qu’en France.</w:t>
      </w:r>
    </w:p>
    <w:p w:rsidR="002120C0" w:rsidRPr="006C39FC" w:rsidRDefault="002120C0" w:rsidP="00081537">
      <w:pPr>
        <w:spacing w:line="480" w:lineRule="auto"/>
        <w:jc w:val="both"/>
        <w:rPr>
          <w:sz w:val="24"/>
          <w:szCs w:val="24"/>
        </w:rPr>
      </w:pPr>
      <w:r w:rsidRPr="006C39FC">
        <w:rPr>
          <w:sz w:val="24"/>
          <w:szCs w:val="24"/>
        </w:rPr>
        <w:t xml:space="preserve">Les Associations Régionales s’étaient </w:t>
      </w:r>
      <w:r>
        <w:rPr>
          <w:sz w:val="24"/>
          <w:szCs w:val="24"/>
        </w:rPr>
        <w:t xml:space="preserve">alors </w:t>
      </w:r>
      <w:r w:rsidRPr="006C39FC">
        <w:rPr>
          <w:sz w:val="24"/>
          <w:szCs w:val="24"/>
        </w:rPr>
        <w:t>fortement impliquées, en complémentarité avec la Mission Europe de l’USH</w:t>
      </w:r>
      <w:r>
        <w:rPr>
          <w:sz w:val="24"/>
          <w:szCs w:val="24"/>
        </w:rPr>
        <w:t xml:space="preserve"> et les conseils régionaux</w:t>
      </w:r>
      <w:r w:rsidRPr="006C39FC">
        <w:rPr>
          <w:sz w:val="24"/>
          <w:szCs w:val="24"/>
        </w:rPr>
        <w:t>, dans la révision des programmes opérationnels régionaux</w:t>
      </w:r>
      <w:r>
        <w:rPr>
          <w:sz w:val="24"/>
          <w:szCs w:val="24"/>
        </w:rPr>
        <w:t xml:space="preserve"> pour mettre en œuvre ces nouvelles possibilités offertes au Mouvement Hlm</w:t>
      </w:r>
      <w:r w:rsidRPr="006C39FC">
        <w:rPr>
          <w:sz w:val="24"/>
          <w:szCs w:val="24"/>
        </w:rPr>
        <w:t xml:space="preserve">. </w:t>
      </w:r>
    </w:p>
    <w:p w:rsidR="002120C0" w:rsidRPr="006C39FC" w:rsidRDefault="002120C0" w:rsidP="00081537">
      <w:pPr>
        <w:spacing w:line="480" w:lineRule="auto"/>
        <w:jc w:val="both"/>
        <w:rPr>
          <w:sz w:val="24"/>
          <w:szCs w:val="24"/>
        </w:rPr>
      </w:pPr>
      <w:r w:rsidRPr="006C39FC">
        <w:rPr>
          <w:sz w:val="24"/>
          <w:szCs w:val="24"/>
        </w:rPr>
        <w:t>Ceci a</w:t>
      </w:r>
      <w:r>
        <w:rPr>
          <w:sz w:val="24"/>
          <w:szCs w:val="24"/>
        </w:rPr>
        <w:t>vait</w:t>
      </w:r>
      <w:r w:rsidRPr="006C39FC">
        <w:rPr>
          <w:sz w:val="24"/>
          <w:szCs w:val="24"/>
        </w:rPr>
        <w:t xml:space="preserve"> permis</w:t>
      </w:r>
      <w:r>
        <w:rPr>
          <w:sz w:val="24"/>
          <w:szCs w:val="24"/>
        </w:rPr>
        <w:t xml:space="preserve"> </w:t>
      </w:r>
      <w:r w:rsidRPr="006C39FC">
        <w:rPr>
          <w:sz w:val="24"/>
          <w:szCs w:val="24"/>
        </w:rPr>
        <w:t>à environ 600 organismes de se mobiliser à leur tour pour que près de 200 millions d’euros de fonds Feder soient utilisés entre 2009 et 2013 pour la rénovation thermique de logements sociaux.</w:t>
      </w:r>
    </w:p>
    <w:p w:rsidR="002120C0" w:rsidRDefault="002120C0" w:rsidP="00081537">
      <w:pPr>
        <w:spacing w:line="480" w:lineRule="auto"/>
        <w:jc w:val="both"/>
        <w:rPr>
          <w:sz w:val="24"/>
          <w:szCs w:val="24"/>
        </w:rPr>
      </w:pPr>
      <w:r w:rsidRPr="006C39FC">
        <w:rPr>
          <w:sz w:val="24"/>
          <w:szCs w:val="24"/>
        </w:rPr>
        <w:t>Cette forte capacité du Mouvement Hlm à mobiliser ces fonds a été saluée à Bruxelles.</w:t>
      </w:r>
    </w:p>
    <w:p w:rsidR="002120C0" w:rsidRDefault="002120C0" w:rsidP="00081537">
      <w:pPr>
        <w:spacing w:line="480" w:lineRule="auto"/>
        <w:jc w:val="both"/>
        <w:rPr>
          <w:sz w:val="24"/>
          <w:szCs w:val="24"/>
        </w:rPr>
      </w:pPr>
    </w:p>
    <w:p w:rsidR="002120C0" w:rsidRDefault="002120C0" w:rsidP="00081537">
      <w:pPr>
        <w:spacing w:line="480" w:lineRule="auto"/>
        <w:jc w:val="both"/>
        <w:rPr>
          <w:sz w:val="24"/>
          <w:szCs w:val="24"/>
        </w:rPr>
      </w:pPr>
    </w:p>
    <w:p w:rsidR="002120C0" w:rsidRDefault="002120C0" w:rsidP="00081537">
      <w:pPr>
        <w:spacing w:line="480" w:lineRule="auto"/>
        <w:jc w:val="both"/>
        <w:rPr>
          <w:sz w:val="24"/>
          <w:szCs w:val="24"/>
        </w:rPr>
      </w:pPr>
    </w:p>
    <w:p w:rsidR="002120C0" w:rsidRDefault="002120C0" w:rsidP="00081537">
      <w:pPr>
        <w:spacing w:line="480" w:lineRule="auto"/>
        <w:jc w:val="both"/>
        <w:rPr>
          <w:sz w:val="24"/>
          <w:szCs w:val="24"/>
        </w:rPr>
      </w:pPr>
    </w:p>
    <w:p w:rsidR="002120C0" w:rsidRDefault="002120C0" w:rsidP="00081537">
      <w:pPr>
        <w:spacing w:line="480" w:lineRule="auto"/>
        <w:jc w:val="both"/>
        <w:rPr>
          <w:sz w:val="24"/>
          <w:szCs w:val="24"/>
        </w:rPr>
      </w:pPr>
      <w:r>
        <w:rPr>
          <w:sz w:val="24"/>
          <w:szCs w:val="24"/>
        </w:rPr>
        <w:t>Aujourd’hui, alors qu’elle vise dans le cadre de sa stratégie Europe 2020 une croissance « intelligente, durable et inclusive », l’Europe a encore plus raison de continuer à investir dans le logement social. </w:t>
      </w:r>
    </w:p>
    <w:p w:rsidR="002120C0" w:rsidRDefault="002120C0" w:rsidP="00081537">
      <w:pPr>
        <w:spacing w:line="480" w:lineRule="auto"/>
        <w:jc w:val="both"/>
        <w:rPr>
          <w:sz w:val="24"/>
          <w:szCs w:val="24"/>
        </w:rPr>
      </w:pPr>
      <w:r>
        <w:rPr>
          <w:sz w:val="24"/>
          <w:szCs w:val="24"/>
        </w:rPr>
        <w:t xml:space="preserve">En effet, les trois engagements pris par le logement social pour cette nouvelle période qui sont l’amélioration de la performance énergétique des logements sociaux, l’inclusion sociale par le logement et le développement urbain durable, contribueront naturellement tous les trois à une croissance durable et inclusive.  </w:t>
      </w:r>
    </w:p>
    <w:p w:rsidR="002120C0" w:rsidRPr="006C39FC" w:rsidRDefault="002120C0" w:rsidP="00081537">
      <w:pPr>
        <w:spacing w:line="480" w:lineRule="auto"/>
        <w:jc w:val="both"/>
        <w:rPr>
          <w:sz w:val="24"/>
          <w:szCs w:val="24"/>
        </w:rPr>
      </w:pPr>
      <w:r>
        <w:rPr>
          <w:sz w:val="24"/>
          <w:szCs w:val="24"/>
        </w:rPr>
        <w:t>Pour ce qui est du caractère intelligent qui doit également caractériser cette croissance, ce n’est pas directement de notre ressort puisque ce sont l’enseignement supérieur et la recherche/développement qui relèvent de ce que l’Europe entend par « intelligence », mais nous essaierons tout de même d’en faire preuve…</w:t>
      </w:r>
    </w:p>
    <w:p w:rsidR="002120C0" w:rsidRDefault="002120C0" w:rsidP="00081537">
      <w:pPr>
        <w:spacing w:line="480" w:lineRule="auto"/>
        <w:jc w:val="both"/>
        <w:rPr>
          <w:sz w:val="24"/>
          <w:szCs w:val="24"/>
        </w:rPr>
      </w:pPr>
      <w:r>
        <w:rPr>
          <w:sz w:val="24"/>
          <w:szCs w:val="24"/>
        </w:rPr>
        <w:t>Cette nouvelle étape est porteuse de grands espoirs pour nos organismes comme pour nos locataires.</w:t>
      </w:r>
    </w:p>
    <w:p w:rsidR="002120C0" w:rsidRDefault="002120C0" w:rsidP="00081537">
      <w:pPr>
        <w:spacing w:line="480" w:lineRule="auto"/>
        <w:jc w:val="both"/>
        <w:rPr>
          <w:sz w:val="24"/>
          <w:szCs w:val="24"/>
        </w:rPr>
      </w:pPr>
      <w:r>
        <w:rPr>
          <w:sz w:val="24"/>
          <w:szCs w:val="24"/>
        </w:rPr>
        <w:t>C’est pourquoi p</w:t>
      </w:r>
      <w:r w:rsidRPr="006C39FC">
        <w:rPr>
          <w:sz w:val="24"/>
          <w:szCs w:val="24"/>
        </w:rPr>
        <w:t>our cette période 2014-2020 qui va s’ouvrir, les associations régionales sont naturellement prêtes à se mobiliser à nouveau avec les régions pour aboutir à encore plus de réalisations.</w:t>
      </w:r>
    </w:p>
    <w:p w:rsidR="002120C0" w:rsidRDefault="002120C0" w:rsidP="00081537">
      <w:pPr>
        <w:spacing w:line="480" w:lineRule="auto"/>
        <w:jc w:val="both"/>
        <w:rPr>
          <w:sz w:val="24"/>
          <w:szCs w:val="24"/>
        </w:rPr>
      </w:pPr>
    </w:p>
    <w:p w:rsidR="002120C0" w:rsidRDefault="002120C0" w:rsidP="00081537">
      <w:pPr>
        <w:spacing w:line="480" w:lineRule="auto"/>
        <w:jc w:val="both"/>
        <w:rPr>
          <w:sz w:val="24"/>
          <w:szCs w:val="24"/>
        </w:rPr>
      </w:pPr>
    </w:p>
    <w:p w:rsidR="002120C0" w:rsidRPr="006C39FC" w:rsidRDefault="002120C0" w:rsidP="00081537">
      <w:pPr>
        <w:spacing w:line="480" w:lineRule="auto"/>
        <w:jc w:val="both"/>
        <w:rPr>
          <w:sz w:val="24"/>
          <w:szCs w:val="24"/>
        </w:rPr>
      </w:pPr>
    </w:p>
    <w:p w:rsidR="002120C0" w:rsidRDefault="002120C0" w:rsidP="00081537">
      <w:pPr>
        <w:spacing w:line="480" w:lineRule="auto"/>
        <w:jc w:val="both"/>
        <w:rPr>
          <w:sz w:val="24"/>
          <w:szCs w:val="24"/>
        </w:rPr>
      </w:pPr>
    </w:p>
    <w:p w:rsidR="002120C0" w:rsidRPr="006C39FC" w:rsidRDefault="002120C0" w:rsidP="00081537">
      <w:pPr>
        <w:spacing w:line="480" w:lineRule="auto"/>
        <w:jc w:val="both"/>
        <w:rPr>
          <w:sz w:val="24"/>
          <w:szCs w:val="24"/>
        </w:rPr>
      </w:pPr>
      <w:bookmarkStart w:id="0" w:name="_GoBack"/>
      <w:bookmarkEnd w:id="0"/>
      <w:r w:rsidRPr="006C39FC">
        <w:rPr>
          <w:sz w:val="24"/>
          <w:szCs w:val="24"/>
        </w:rPr>
        <w:t>C’est naturellement vrai pour la performance énergétique, comme nous l’avons vu ce matin.</w:t>
      </w:r>
    </w:p>
    <w:p w:rsidR="002120C0" w:rsidRDefault="002120C0" w:rsidP="00081537">
      <w:pPr>
        <w:spacing w:line="480" w:lineRule="auto"/>
        <w:jc w:val="both"/>
        <w:rPr>
          <w:sz w:val="24"/>
          <w:szCs w:val="24"/>
        </w:rPr>
      </w:pPr>
      <w:r w:rsidRPr="006C39FC">
        <w:rPr>
          <w:sz w:val="24"/>
          <w:szCs w:val="24"/>
        </w:rPr>
        <w:t xml:space="preserve">Et c’est d’autant plus nécessaire depuis </w:t>
      </w:r>
      <w:r>
        <w:rPr>
          <w:sz w:val="24"/>
          <w:szCs w:val="24"/>
        </w:rPr>
        <w:t xml:space="preserve">que </w:t>
      </w:r>
      <w:r w:rsidRPr="006C39FC">
        <w:rPr>
          <w:sz w:val="24"/>
          <w:szCs w:val="24"/>
        </w:rPr>
        <w:t xml:space="preserve">le Président de la République a porté à 120 000 logements par an </w:t>
      </w:r>
      <w:r>
        <w:rPr>
          <w:sz w:val="24"/>
          <w:szCs w:val="24"/>
        </w:rPr>
        <w:t>les</w:t>
      </w:r>
      <w:r w:rsidRPr="006C39FC">
        <w:rPr>
          <w:sz w:val="24"/>
          <w:szCs w:val="24"/>
        </w:rPr>
        <w:t xml:space="preserve"> objectifs de rénovation thermique</w:t>
      </w:r>
      <w:r>
        <w:rPr>
          <w:sz w:val="24"/>
          <w:szCs w:val="24"/>
        </w:rPr>
        <w:t xml:space="preserve"> du logement social</w:t>
      </w:r>
      <w:r w:rsidRPr="006C39FC">
        <w:rPr>
          <w:sz w:val="24"/>
          <w:szCs w:val="24"/>
        </w:rPr>
        <w:t>.</w:t>
      </w:r>
      <w:r>
        <w:rPr>
          <w:sz w:val="24"/>
          <w:szCs w:val="24"/>
        </w:rPr>
        <w:t xml:space="preserve"> </w:t>
      </w:r>
    </w:p>
    <w:p w:rsidR="002120C0" w:rsidRDefault="002120C0" w:rsidP="00081537">
      <w:pPr>
        <w:spacing w:line="480" w:lineRule="auto"/>
        <w:jc w:val="both"/>
        <w:rPr>
          <w:sz w:val="24"/>
          <w:szCs w:val="24"/>
        </w:rPr>
      </w:pPr>
      <w:r>
        <w:rPr>
          <w:sz w:val="24"/>
          <w:szCs w:val="24"/>
        </w:rPr>
        <w:t>Le Mouvement Hlm peut s’appuyer sur son expérience en la matière et sur le savoir-faire des organismes puisque depuis 2008 60 000 ménages à revenus modestes ont bénéficié du Feder pour la rénovation thermique de leurs logements sociaux.</w:t>
      </w:r>
    </w:p>
    <w:p w:rsidR="002120C0" w:rsidRPr="006C39FC" w:rsidRDefault="002120C0" w:rsidP="00081537">
      <w:pPr>
        <w:spacing w:line="480" w:lineRule="auto"/>
        <w:jc w:val="both"/>
        <w:rPr>
          <w:sz w:val="24"/>
          <w:szCs w:val="24"/>
        </w:rPr>
      </w:pPr>
      <w:r>
        <w:rPr>
          <w:sz w:val="24"/>
          <w:szCs w:val="24"/>
        </w:rPr>
        <w:t>Il faudra naturellement que les financements soient à la hauteur de cet accroissement considérable des objectifs.</w:t>
      </w:r>
    </w:p>
    <w:p w:rsidR="002120C0" w:rsidRDefault="002120C0" w:rsidP="00081537">
      <w:pPr>
        <w:spacing w:line="480" w:lineRule="auto"/>
        <w:jc w:val="both"/>
        <w:rPr>
          <w:sz w:val="24"/>
          <w:szCs w:val="24"/>
        </w:rPr>
      </w:pPr>
    </w:p>
    <w:p w:rsidR="002120C0" w:rsidRPr="006C39FC" w:rsidRDefault="002120C0" w:rsidP="00081537">
      <w:pPr>
        <w:spacing w:line="480" w:lineRule="auto"/>
        <w:jc w:val="both"/>
        <w:rPr>
          <w:sz w:val="24"/>
          <w:szCs w:val="24"/>
        </w:rPr>
      </w:pPr>
    </w:p>
    <w:p w:rsidR="002120C0" w:rsidRDefault="002120C0" w:rsidP="00081537">
      <w:pPr>
        <w:spacing w:line="480" w:lineRule="auto"/>
        <w:jc w:val="both"/>
        <w:rPr>
          <w:sz w:val="24"/>
          <w:szCs w:val="24"/>
        </w:rPr>
      </w:pPr>
      <w:r>
        <w:rPr>
          <w:sz w:val="24"/>
          <w:szCs w:val="24"/>
        </w:rPr>
        <w:t>Au-delà de la performance énergétique, cette mobilisation est</w:t>
      </w:r>
      <w:r w:rsidRPr="006C39FC">
        <w:rPr>
          <w:sz w:val="24"/>
          <w:szCs w:val="24"/>
        </w:rPr>
        <w:t xml:space="preserve"> aussi vrai</w:t>
      </w:r>
      <w:r>
        <w:rPr>
          <w:sz w:val="24"/>
          <w:szCs w:val="24"/>
        </w:rPr>
        <w:t>e</w:t>
      </w:r>
      <w:r w:rsidRPr="006C39FC">
        <w:rPr>
          <w:sz w:val="24"/>
          <w:szCs w:val="24"/>
        </w:rPr>
        <w:t xml:space="preserve"> pour les deux nouveaux axes </w:t>
      </w:r>
      <w:r>
        <w:rPr>
          <w:sz w:val="24"/>
          <w:szCs w:val="24"/>
        </w:rPr>
        <w:t xml:space="preserve">dont nous venons de parler cet </w:t>
      </w:r>
      <w:r w:rsidRPr="006C39FC">
        <w:rPr>
          <w:sz w:val="24"/>
          <w:szCs w:val="24"/>
        </w:rPr>
        <w:t xml:space="preserve">après-midi et qui </w:t>
      </w:r>
      <w:r>
        <w:rPr>
          <w:sz w:val="24"/>
          <w:szCs w:val="24"/>
        </w:rPr>
        <w:t>devraient</w:t>
      </w:r>
      <w:r w:rsidRPr="006C39FC">
        <w:rPr>
          <w:sz w:val="24"/>
          <w:szCs w:val="24"/>
        </w:rPr>
        <w:t xml:space="preserve"> être déclarés éligibles par le Parlement européen, consacrant ainsi les trois actions phares auxquelles s’est engagé</w:t>
      </w:r>
      <w:r>
        <w:rPr>
          <w:sz w:val="24"/>
          <w:szCs w:val="24"/>
        </w:rPr>
        <w:t>e</w:t>
      </w:r>
      <w:r w:rsidRPr="006C39FC">
        <w:rPr>
          <w:sz w:val="24"/>
          <w:szCs w:val="24"/>
        </w:rPr>
        <w:t xml:space="preserve"> l’Union Sociale pour l’Habitat</w:t>
      </w:r>
      <w:r>
        <w:rPr>
          <w:sz w:val="24"/>
          <w:szCs w:val="24"/>
        </w:rPr>
        <w:t xml:space="preserve">. </w:t>
      </w:r>
    </w:p>
    <w:p w:rsidR="002120C0" w:rsidRPr="006C39FC" w:rsidRDefault="002120C0" w:rsidP="00081537">
      <w:pPr>
        <w:spacing w:line="480" w:lineRule="auto"/>
        <w:jc w:val="both"/>
        <w:rPr>
          <w:sz w:val="24"/>
          <w:szCs w:val="24"/>
        </w:rPr>
      </w:pPr>
      <w:r>
        <w:rPr>
          <w:sz w:val="24"/>
          <w:szCs w:val="24"/>
        </w:rPr>
        <w:t>Pour mémoire</w:t>
      </w:r>
      <w:r w:rsidRPr="006C39FC">
        <w:rPr>
          <w:sz w:val="24"/>
          <w:szCs w:val="24"/>
        </w:rPr>
        <w:t xml:space="preserve"> :</w:t>
      </w:r>
    </w:p>
    <w:p w:rsidR="002120C0" w:rsidRPr="006C39FC" w:rsidRDefault="002120C0" w:rsidP="00081537">
      <w:pPr>
        <w:numPr>
          <w:ilvl w:val="0"/>
          <w:numId w:val="1"/>
        </w:numPr>
        <w:spacing w:line="480" w:lineRule="auto"/>
        <w:contextualSpacing/>
        <w:jc w:val="both"/>
        <w:rPr>
          <w:sz w:val="24"/>
          <w:szCs w:val="24"/>
        </w:rPr>
      </w:pPr>
      <w:r w:rsidRPr="006C39FC">
        <w:rPr>
          <w:sz w:val="24"/>
          <w:szCs w:val="24"/>
        </w:rPr>
        <w:t>L’inclusion sociale par le logement pour les populations les plus fragiles</w:t>
      </w:r>
    </w:p>
    <w:p w:rsidR="002120C0" w:rsidRPr="006C39FC" w:rsidRDefault="002120C0" w:rsidP="00081537">
      <w:pPr>
        <w:numPr>
          <w:ilvl w:val="0"/>
          <w:numId w:val="1"/>
        </w:numPr>
        <w:spacing w:line="480" w:lineRule="auto"/>
        <w:contextualSpacing/>
        <w:jc w:val="both"/>
        <w:rPr>
          <w:sz w:val="24"/>
          <w:szCs w:val="24"/>
        </w:rPr>
      </w:pPr>
      <w:r w:rsidRPr="006C39FC">
        <w:rPr>
          <w:sz w:val="24"/>
          <w:szCs w:val="24"/>
        </w:rPr>
        <w:t>la rénovation urbaine et le développement urbain durable dans les quartiers défavorisés</w:t>
      </w:r>
    </w:p>
    <w:p w:rsidR="002120C0" w:rsidRDefault="002120C0" w:rsidP="00081537">
      <w:pPr>
        <w:spacing w:line="480" w:lineRule="auto"/>
        <w:jc w:val="both"/>
        <w:rPr>
          <w:sz w:val="24"/>
          <w:szCs w:val="24"/>
        </w:rPr>
      </w:pPr>
    </w:p>
    <w:p w:rsidR="002120C0" w:rsidRPr="006C39FC" w:rsidRDefault="002120C0" w:rsidP="00081537">
      <w:pPr>
        <w:spacing w:line="480" w:lineRule="auto"/>
        <w:jc w:val="both"/>
        <w:rPr>
          <w:sz w:val="24"/>
          <w:szCs w:val="24"/>
        </w:rPr>
      </w:pPr>
    </w:p>
    <w:p w:rsidR="002120C0" w:rsidRDefault="002120C0" w:rsidP="00081537">
      <w:pPr>
        <w:spacing w:line="480" w:lineRule="auto"/>
        <w:jc w:val="both"/>
        <w:rPr>
          <w:sz w:val="24"/>
          <w:szCs w:val="24"/>
        </w:rPr>
      </w:pPr>
      <w:r w:rsidRPr="006C39FC">
        <w:rPr>
          <w:sz w:val="24"/>
          <w:szCs w:val="24"/>
        </w:rPr>
        <w:t xml:space="preserve">C’est pourquoi </w:t>
      </w:r>
      <w:r>
        <w:rPr>
          <w:sz w:val="24"/>
          <w:szCs w:val="24"/>
        </w:rPr>
        <w:t>les associations régionales</w:t>
      </w:r>
      <w:r w:rsidRPr="006C39FC">
        <w:rPr>
          <w:sz w:val="24"/>
          <w:szCs w:val="24"/>
        </w:rPr>
        <w:t xml:space="preserve"> attend</w:t>
      </w:r>
      <w:r>
        <w:rPr>
          <w:sz w:val="24"/>
          <w:szCs w:val="24"/>
        </w:rPr>
        <w:t>ent</w:t>
      </w:r>
      <w:r w:rsidRPr="006C39FC">
        <w:rPr>
          <w:sz w:val="24"/>
          <w:szCs w:val="24"/>
        </w:rPr>
        <w:t xml:space="preserve"> avec impatience la finalisation du transfert de compétence pour la gestion de ces fonds européens de l’Etat vers les régions, afin de pouvoir véritablement démarrer dans toutes les régions le long travail de définition des programmes opérationnels régionaux.</w:t>
      </w:r>
      <w:r w:rsidRPr="00870C43">
        <w:rPr>
          <w:sz w:val="24"/>
          <w:szCs w:val="24"/>
        </w:rPr>
        <w:t xml:space="preserve"> </w:t>
      </w:r>
    </w:p>
    <w:p w:rsidR="002120C0" w:rsidRDefault="002120C0" w:rsidP="00081537">
      <w:pPr>
        <w:spacing w:line="480" w:lineRule="auto"/>
        <w:jc w:val="both"/>
        <w:rPr>
          <w:sz w:val="24"/>
          <w:szCs w:val="24"/>
        </w:rPr>
      </w:pPr>
      <w:r>
        <w:rPr>
          <w:sz w:val="24"/>
          <w:szCs w:val="24"/>
        </w:rPr>
        <w:t>Nous espérons donc pouvoir dès le mois prochain prendre part à la concertation menée par chaque région afin de pouvoir conclure comme prévu les programmes opérationnels régionaux fin octobre 2013.</w:t>
      </w:r>
    </w:p>
    <w:p w:rsidR="002120C0" w:rsidRPr="006C39FC" w:rsidRDefault="002120C0" w:rsidP="00081537">
      <w:pPr>
        <w:spacing w:line="480" w:lineRule="auto"/>
        <w:jc w:val="both"/>
        <w:rPr>
          <w:sz w:val="24"/>
          <w:szCs w:val="24"/>
        </w:rPr>
      </w:pPr>
      <w:r>
        <w:rPr>
          <w:sz w:val="24"/>
          <w:szCs w:val="24"/>
        </w:rPr>
        <w:t>Je vous remercie enfin toutes et tous de votre participation à cette conférence dont je tiens à souligner la grande qualité des débats et des travaux qui y ont été présentés.</w:t>
      </w:r>
    </w:p>
    <w:sectPr w:rsidR="002120C0" w:rsidRPr="006C39FC" w:rsidSect="00B578E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0C0" w:rsidRDefault="002120C0" w:rsidP="00081537">
      <w:pPr>
        <w:spacing w:after="0" w:line="240" w:lineRule="auto"/>
      </w:pPr>
      <w:r>
        <w:separator/>
      </w:r>
    </w:p>
  </w:endnote>
  <w:endnote w:type="continuationSeparator" w:id="0">
    <w:p w:rsidR="002120C0" w:rsidRDefault="002120C0" w:rsidP="00081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0" w:rsidRDefault="002120C0" w:rsidP="00081537">
    <w:pPr>
      <w:pStyle w:val="Footer"/>
      <w:ind w:left="3960" w:firstLine="4536"/>
    </w:pPr>
    <w:fldSimple w:instr="PAGE   \* MERGEFORMAT">
      <w:r>
        <w:rPr>
          <w:noProof/>
        </w:rPr>
        <w:t>1</w:t>
      </w:r>
    </w:fldSimple>
  </w:p>
  <w:p w:rsidR="002120C0" w:rsidRDefault="00212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0C0" w:rsidRDefault="002120C0" w:rsidP="00081537">
      <w:pPr>
        <w:spacing w:after="0" w:line="240" w:lineRule="auto"/>
      </w:pPr>
      <w:r>
        <w:separator/>
      </w:r>
    </w:p>
  </w:footnote>
  <w:footnote w:type="continuationSeparator" w:id="0">
    <w:p w:rsidR="002120C0" w:rsidRDefault="002120C0" w:rsidP="000815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1036"/>
    <w:multiLevelType w:val="hybridMultilevel"/>
    <w:tmpl w:val="7C98358C"/>
    <w:lvl w:ilvl="0" w:tplc="97E6B7B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9FC"/>
    <w:rsid w:val="00034BE4"/>
    <w:rsid w:val="00081537"/>
    <w:rsid w:val="001301AB"/>
    <w:rsid w:val="001A5334"/>
    <w:rsid w:val="001D47B8"/>
    <w:rsid w:val="002120C0"/>
    <w:rsid w:val="00221287"/>
    <w:rsid w:val="0024559B"/>
    <w:rsid w:val="003F1EF3"/>
    <w:rsid w:val="00590E87"/>
    <w:rsid w:val="006C39FC"/>
    <w:rsid w:val="007A4C19"/>
    <w:rsid w:val="008542D2"/>
    <w:rsid w:val="00870C43"/>
    <w:rsid w:val="00A776C5"/>
    <w:rsid w:val="00A80BF0"/>
    <w:rsid w:val="00B5355D"/>
    <w:rsid w:val="00B578ED"/>
    <w:rsid w:val="00CC799F"/>
    <w:rsid w:val="00CE3E46"/>
    <w:rsid w:val="00DA0EE5"/>
    <w:rsid w:val="00F16B5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1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153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81537"/>
    <w:rPr>
      <w:rFonts w:cs="Times New Roman"/>
    </w:rPr>
  </w:style>
  <w:style w:type="paragraph" w:styleId="Footer">
    <w:name w:val="footer"/>
    <w:basedOn w:val="Normal"/>
    <w:link w:val="FooterChar"/>
    <w:uiPriority w:val="99"/>
    <w:rsid w:val="0008153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815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629</Words>
  <Characters>3464</Characters>
  <Application>Microsoft Office Outlook</Application>
  <DocSecurity>0</DocSecurity>
  <Lines>0</Lines>
  <Paragraphs>0</Paragraphs>
  <ScaleCrop>false</ScaleCrop>
  <Company>USH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Mesdames, Messieurs,</dc:title>
  <dc:subject/>
  <dc:creator>François-Xavier BICHAT</dc:creator>
  <cp:keywords/>
  <dc:description/>
  <cp:lastModifiedBy>Laurent GHEKIERE</cp:lastModifiedBy>
  <cp:revision>2</cp:revision>
  <dcterms:created xsi:type="dcterms:W3CDTF">2013-04-17T16:39:00Z</dcterms:created>
  <dcterms:modified xsi:type="dcterms:W3CDTF">2013-04-17T16:39:00Z</dcterms:modified>
</cp:coreProperties>
</file>