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250" w:type="dxa"/>
        <w:tblLook w:val="04A0" w:firstRow="1" w:lastRow="0" w:firstColumn="1" w:lastColumn="0" w:noHBand="0" w:noVBand="1"/>
      </w:tblPr>
      <w:tblGrid>
        <w:gridCol w:w="2053"/>
        <w:gridCol w:w="2303"/>
        <w:gridCol w:w="2303"/>
      </w:tblGrid>
      <w:tr w:rsidR="000D5F3A" w:rsidTr="0017467A">
        <w:tc>
          <w:tcPr>
            <w:tcW w:w="6659" w:type="dxa"/>
            <w:gridSpan w:val="3"/>
          </w:tcPr>
          <w:p w:rsidR="000D5F3A" w:rsidRDefault="000D5F3A" w:rsidP="007F6C11">
            <w:r>
              <w:t xml:space="preserve">Répartition des fonds </w:t>
            </w:r>
            <w:r w:rsidR="007F6C11">
              <w:t>FEDER et FSE</w:t>
            </w:r>
            <w:bookmarkStart w:id="0" w:name="_GoBack"/>
            <w:bookmarkEnd w:id="0"/>
            <w:r w:rsidR="007F6C11">
              <w:t xml:space="preserve"> </w:t>
            </w:r>
            <w:r>
              <w:t>par régions 2014/2020</w:t>
            </w:r>
          </w:p>
        </w:tc>
      </w:tr>
      <w:tr w:rsidR="006B1E78" w:rsidTr="0017467A">
        <w:tc>
          <w:tcPr>
            <w:tcW w:w="2053" w:type="dxa"/>
          </w:tcPr>
          <w:p w:rsidR="006B1E78" w:rsidRDefault="007F6C11">
            <w:r>
              <w:t>Régions</w:t>
            </w:r>
          </w:p>
        </w:tc>
        <w:tc>
          <w:tcPr>
            <w:tcW w:w="2303" w:type="dxa"/>
          </w:tcPr>
          <w:p w:rsidR="006B1E78" w:rsidRDefault="006B1E78">
            <w:r>
              <w:t>FEDER</w:t>
            </w:r>
          </w:p>
        </w:tc>
        <w:tc>
          <w:tcPr>
            <w:tcW w:w="2303" w:type="dxa"/>
          </w:tcPr>
          <w:p w:rsidR="006B1E78" w:rsidRDefault="006B1E78">
            <w:r>
              <w:t>FSE</w:t>
            </w:r>
          </w:p>
        </w:tc>
      </w:tr>
      <w:tr w:rsidR="006B1E78" w:rsidTr="0017467A">
        <w:tc>
          <w:tcPr>
            <w:tcW w:w="2053" w:type="dxa"/>
          </w:tcPr>
          <w:p w:rsidR="006B1E78" w:rsidRDefault="006B1E78">
            <w:r>
              <w:t>Alsace</w:t>
            </w:r>
          </w:p>
        </w:tc>
        <w:tc>
          <w:tcPr>
            <w:tcW w:w="2303" w:type="dxa"/>
          </w:tcPr>
          <w:p w:rsidR="006B1E78" w:rsidRDefault="006B1E78">
            <w:r>
              <w:t>88</w:t>
            </w:r>
          </w:p>
        </w:tc>
        <w:tc>
          <w:tcPr>
            <w:tcW w:w="2303" w:type="dxa"/>
          </w:tcPr>
          <w:p w:rsidR="006B1E78" w:rsidRDefault="006B1E78">
            <w:r>
              <w:t>45.3</w:t>
            </w:r>
          </w:p>
        </w:tc>
      </w:tr>
      <w:tr w:rsidR="006B1E78" w:rsidTr="0017467A">
        <w:tc>
          <w:tcPr>
            <w:tcW w:w="2053" w:type="dxa"/>
          </w:tcPr>
          <w:p w:rsidR="006B1E78" w:rsidRDefault="006B1E78">
            <w:r>
              <w:t>Aquitaine</w:t>
            </w:r>
          </w:p>
        </w:tc>
        <w:tc>
          <w:tcPr>
            <w:tcW w:w="2303" w:type="dxa"/>
          </w:tcPr>
          <w:p w:rsidR="006B1E78" w:rsidRDefault="006B1E78">
            <w:r>
              <w:t>373.3</w:t>
            </w:r>
          </w:p>
        </w:tc>
        <w:tc>
          <w:tcPr>
            <w:tcW w:w="2303" w:type="dxa"/>
          </w:tcPr>
          <w:p w:rsidR="006B1E78" w:rsidRDefault="006B1E78" w:rsidP="004A514B">
            <w:r>
              <w:t>76.9</w:t>
            </w:r>
          </w:p>
        </w:tc>
      </w:tr>
      <w:tr w:rsidR="006B1E78" w:rsidTr="0017467A">
        <w:tc>
          <w:tcPr>
            <w:tcW w:w="2053" w:type="dxa"/>
          </w:tcPr>
          <w:p w:rsidR="006B1E78" w:rsidRDefault="006B1E78">
            <w:r>
              <w:t>Auvergne</w:t>
            </w:r>
          </w:p>
        </w:tc>
        <w:tc>
          <w:tcPr>
            <w:tcW w:w="2303" w:type="dxa"/>
          </w:tcPr>
          <w:p w:rsidR="006B1E78" w:rsidRDefault="006B1E78">
            <w:r>
              <w:t>216.9</w:t>
            </w:r>
          </w:p>
        </w:tc>
        <w:tc>
          <w:tcPr>
            <w:tcW w:w="2303" w:type="dxa"/>
          </w:tcPr>
          <w:p w:rsidR="006B1E78" w:rsidRDefault="006B1E78">
            <w:r>
              <w:t>32.4</w:t>
            </w:r>
          </w:p>
        </w:tc>
      </w:tr>
      <w:tr w:rsidR="006B1E78" w:rsidTr="0017467A">
        <w:tc>
          <w:tcPr>
            <w:tcW w:w="2053" w:type="dxa"/>
          </w:tcPr>
          <w:p w:rsidR="006B1E78" w:rsidRDefault="006B1E78">
            <w:r>
              <w:t>Basse Normandie</w:t>
            </w:r>
          </w:p>
        </w:tc>
        <w:tc>
          <w:tcPr>
            <w:tcW w:w="2303" w:type="dxa"/>
          </w:tcPr>
          <w:p w:rsidR="006B1E78" w:rsidRDefault="006B1E78">
            <w:r>
              <w:t>188.7</w:t>
            </w:r>
          </w:p>
        </w:tc>
        <w:tc>
          <w:tcPr>
            <w:tcW w:w="2303" w:type="dxa"/>
          </w:tcPr>
          <w:p w:rsidR="006B1E78" w:rsidRDefault="006B1E78">
            <w:r>
              <w:t>38</w:t>
            </w:r>
          </w:p>
        </w:tc>
      </w:tr>
      <w:tr w:rsidR="006B1E78" w:rsidTr="0017467A">
        <w:tc>
          <w:tcPr>
            <w:tcW w:w="2053" w:type="dxa"/>
          </w:tcPr>
          <w:p w:rsidR="006B1E78" w:rsidRDefault="006B1E78">
            <w:r>
              <w:t>Bourgogne</w:t>
            </w:r>
          </w:p>
        </w:tc>
        <w:tc>
          <w:tcPr>
            <w:tcW w:w="2303" w:type="dxa"/>
          </w:tcPr>
          <w:p w:rsidR="006B1E78" w:rsidRDefault="006B1E78">
            <w:r>
              <w:t>185.2</w:t>
            </w:r>
          </w:p>
        </w:tc>
        <w:tc>
          <w:tcPr>
            <w:tcW w:w="2303" w:type="dxa"/>
          </w:tcPr>
          <w:p w:rsidR="006B1E78" w:rsidRDefault="006B1E78">
            <w:r>
              <w:t>38.4</w:t>
            </w:r>
          </w:p>
        </w:tc>
      </w:tr>
      <w:tr w:rsidR="006B1E78" w:rsidTr="0017467A">
        <w:tc>
          <w:tcPr>
            <w:tcW w:w="2053" w:type="dxa"/>
          </w:tcPr>
          <w:p w:rsidR="006B1E78" w:rsidRDefault="006B1E78">
            <w:r>
              <w:t>Bretagne</w:t>
            </w:r>
          </w:p>
        </w:tc>
        <w:tc>
          <w:tcPr>
            <w:tcW w:w="2303" w:type="dxa"/>
          </w:tcPr>
          <w:p w:rsidR="006B1E78" w:rsidRDefault="006B1E78">
            <w:r>
              <w:t>310.1</w:t>
            </w:r>
          </w:p>
        </w:tc>
        <w:tc>
          <w:tcPr>
            <w:tcW w:w="2303" w:type="dxa"/>
          </w:tcPr>
          <w:p w:rsidR="006B1E78" w:rsidRDefault="006B1E78">
            <w:r>
              <w:t>59.2</w:t>
            </w:r>
          </w:p>
        </w:tc>
      </w:tr>
      <w:tr w:rsidR="006B1E78" w:rsidTr="0017467A">
        <w:tc>
          <w:tcPr>
            <w:tcW w:w="2053" w:type="dxa"/>
          </w:tcPr>
          <w:p w:rsidR="006B1E78" w:rsidRDefault="006B1E78">
            <w:r>
              <w:t>Centre</w:t>
            </w:r>
          </w:p>
        </w:tc>
        <w:tc>
          <w:tcPr>
            <w:tcW w:w="2303" w:type="dxa"/>
          </w:tcPr>
          <w:p w:rsidR="006B1E78" w:rsidRDefault="006B1E78">
            <w:r>
              <w:t>181.5</w:t>
            </w:r>
          </w:p>
        </w:tc>
        <w:tc>
          <w:tcPr>
            <w:tcW w:w="2303" w:type="dxa"/>
          </w:tcPr>
          <w:p w:rsidR="006B1E78" w:rsidRDefault="006B1E78">
            <w:r>
              <w:t>61.8</w:t>
            </w:r>
          </w:p>
        </w:tc>
      </w:tr>
      <w:tr w:rsidR="006B1E78" w:rsidTr="0017467A">
        <w:tc>
          <w:tcPr>
            <w:tcW w:w="2053" w:type="dxa"/>
          </w:tcPr>
          <w:p w:rsidR="006B1E78" w:rsidRDefault="006B1E78">
            <w:r>
              <w:t>Champagne-Ardenne</w:t>
            </w:r>
          </w:p>
        </w:tc>
        <w:tc>
          <w:tcPr>
            <w:tcW w:w="2303" w:type="dxa"/>
          </w:tcPr>
          <w:p w:rsidR="006B1E78" w:rsidRDefault="006B1E78">
            <w:r>
              <w:t>183.2</w:t>
            </w:r>
          </w:p>
        </w:tc>
        <w:tc>
          <w:tcPr>
            <w:tcW w:w="2303" w:type="dxa"/>
          </w:tcPr>
          <w:p w:rsidR="006B1E78" w:rsidRDefault="006B1E78">
            <w:r>
              <w:t>39.5</w:t>
            </w:r>
          </w:p>
        </w:tc>
      </w:tr>
      <w:tr w:rsidR="006B1E78" w:rsidTr="0017467A">
        <w:tc>
          <w:tcPr>
            <w:tcW w:w="2053" w:type="dxa"/>
          </w:tcPr>
          <w:p w:rsidR="006B1E78" w:rsidRDefault="006B1E78">
            <w:r>
              <w:t>Corse</w:t>
            </w:r>
          </w:p>
        </w:tc>
        <w:tc>
          <w:tcPr>
            <w:tcW w:w="2303" w:type="dxa"/>
          </w:tcPr>
          <w:p w:rsidR="006B1E78" w:rsidRDefault="006B1E78">
            <w:r>
              <w:t>105</w:t>
            </w:r>
          </w:p>
        </w:tc>
        <w:tc>
          <w:tcPr>
            <w:tcW w:w="2303" w:type="dxa"/>
          </w:tcPr>
          <w:p w:rsidR="006B1E78" w:rsidRDefault="006B1E78">
            <w:r>
              <w:t>10.8</w:t>
            </w:r>
          </w:p>
        </w:tc>
      </w:tr>
      <w:tr w:rsidR="006B1E78" w:rsidTr="0017467A">
        <w:tc>
          <w:tcPr>
            <w:tcW w:w="2053" w:type="dxa"/>
          </w:tcPr>
          <w:p w:rsidR="006B1E78" w:rsidRDefault="006B1E78">
            <w:r>
              <w:t>Franche-Comté</w:t>
            </w:r>
          </w:p>
        </w:tc>
        <w:tc>
          <w:tcPr>
            <w:tcW w:w="2303" w:type="dxa"/>
          </w:tcPr>
          <w:p w:rsidR="006B1E78" w:rsidRDefault="006B1E78">
            <w:r>
              <w:t>140.2</w:t>
            </w:r>
          </w:p>
        </w:tc>
        <w:tc>
          <w:tcPr>
            <w:tcW w:w="2303" w:type="dxa"/>
          </w:tcPr>
          <w:p w:rsidR="006B1E78" w:rsidRDefault="006B1E78">
            <w:r>
              <w:t>32.2</w:t>
            </w:r>
          </w:p>
        </w:tc>
      </w:tr>
      <w:tr w:rsidR="006B1E78" w:rsidTr="0017467A">
        <w:tc>
          <w:tcPr>
            <w:tcW w:w="2053" w:type="dxa"/>
          </w:tcPr>
          <w:p w:rsidR="006B1E78" w:rsidRDefault="006B1E78">
            <w:r>
              <w:t>Haute-Normandie</w:t>
            </w:r>
          </w:p>
        </w:tc>
        <w:tc>
          <w:tcPr>
            <w:tcW w:w="2303" w:type="dxa"/>
          </w:tcPr>
          <w:p w:rsidR="006B1E78" w:rsidRDefault="006B1E78">
            <w:r>
              <w:t>228.3</w:t>
            </w:r>
          </w:p>
        </w:tc>
        <w:tc>
          <w:tcPr>
            <w:tcW w:w="2303" w:type="dxa"/>
          </w:tcPr>
          <w:p w:rsidR="006B1E78" w:rsidRDefault="006B1E78">
            <w:r>
              <w:t>53.2</w:t>
            </w:r>
          </w:p>
        </w:tc>
      </w:tr>
      <w:tr w:rsidR="006B1E78" w:rsidTr="0017467A">
        <w:tc>
          <w:tcPr>
            <w:tcW w:w="2053" w:type="dxa"/>
          </w:tcPr>
          <w:p w:rsidR="006B1E78" w:rsidRDefault="006B1E78">
            <w:r>
              <w:t>Ile de France</w:t>
            </w:r>
          </w:p>
        </w:tc>
        <w:tc>
          <w:tcPr>
            <w:tcW w:w="2303" w:type="dxa"/>
          </w:tcPr>
          <w:p w:rsidR="006B1E78" w:rsidRDefault="000D5F3A">
            <w:r>
              <w:t>178.0</w:t>
            </w:r>
          </w:p>
        </w:tc>
        <w:tc>
          <w:tcPr>
            <w:tcW w:w="2303" w:type="dxa"/>
          </w:tcPr>
          <w:p w:rsidR="006B1E78" w:rsidRDefault="000D5F3A">
            <w:r>
              <w:t>291.6</w:t>
            </w:r>
          </w:p>
        </w:tc>
      </w:tr>
      <w:tr w:rsidR="006B1E78" w:rsidTr="0017467A">
        <w:tc>
          <w:tcPr>
            <w:tcW w:w="2053" w:type="dxa"/>
          </w:tcPr>
          <w:p w:rsidR="006B1E78" w:rsidRDefault="006B1E78">
            <w:r>
              <w:t>Languedoc-Roussillon</w:t>
            </w:r>
          </w:p>
        </w:tc>
        <w:tc>
          <w:tcPr>
            <w:tcW w:w="2303" w:type="dxa"/>
          </w:tcPr>
          <w:p w:rsidR="006B1E78" w:rsidRDefault="006B1E78">
            <w:r>
              <w:t>310.0</w:t>
            </w:r>
          </w:p>
        </w:tc>
        <w:tc>
          <w:tcPr>
            <w:tcW w:w="2303" w:type="dxa"/>
          </w:tcPr>
          <w:p w:rsidR="006B1E78" w:rsidRDefault="006B1E78">
            <w:r>
              <w:t>102.0</w:t>
            </w:r>
          </w:p>
        </w:tc>
      </w:tr>
      <w:tr w:rsidR="006B1E78" w:rsidTr="0017467A">
        <w:tc>
          <w:tcPr>
            <w:tcW w:w="2053" w:type="dxa"/>
          </w:tcPr>
          <w:p w:rsidR="006B1E78" w:rsidRDefault="006B1E78">
            <w:r>
              <w:t>Limousin</w:t>
            </w:r>
          </w:p>
        </w:tc>
        <w:tc>
          <w:tcPr>
            <w:tcW w:w="2303" w:type="dxa"/>
          </w:tcPr>
          <w:p w:rsidR="006B1E78" w:rsidRDefault="006B1E78">
            <w:r>
              <w:t>126.7</w:t>
            </w:r>
          </w:p>
        </w:tc>
        <w:tc>
          <w:tcPr>
            <w:tcW w:w="2303" w:type="dxa"/>
          </w:tcPr>
          <w:p w:rsidR="006B1E78" w:rsidRDefault="006B1E78">
            <w:r>
              <w:t>17.9</w:t>
            </w:r>
          </w:p>
        </w:tc>
      </w:tr>
      <w:tr w:rsidR="006B1E78" w:rsidTr="0017467A">
        <w:tc>
          <w:tcPr>
            <w:tcW w:w="2053" w:type="dxa"/>
          </w:tcPr>
          <w:p w:rsidR="006B1E78" w:rsidRDefault="006B1E78">
            <w:r>
              <w:t>Lorraine</w:t>
            </w:r>
          </w:p>
        </w:tc>
        <w:tc>
          <w:tcPr>
            <w:tcW w:w="2303" w:type="dxa"/>
          </w:tcPr>
          <w:p w:rsidR="006B1E78" w:rsidRDefault="006B1E78">
            <w:r>
              <w:t>327.7</w:t>
            </w:r>
          </w:p>
        </w:tc>
        <w:tc>
          <w:tcPr>
            <w:tcW w:w="2303" w:type="dxa"/>
          </w:tcPr>
          <w:p w:rsidR="006B1E78" w:rsidRDefault="006B1E78">
            <w:r>
              <w:t>68.6</w:t>
            </w:r>
          </w:p>
        </w:tc>
      </w:tr>
      <w:tr w:rsidR="006B1E78" w:rsidTr="0017467A">
        <w:tc>
          <w:tcPr>
            <w:tcW w:w="2053" w:type="dxa"/>
          </w:tcPr>
          <w:p w:rsidR="006B1E78" w:rsidRDefault="006B1E78">
            <w:r>
              <w:t>Midi-Pyrénées</w:t>
            </w:r>
          </w:p>
        </w:tc>
        <w:tc>
          <w:tcPr>
            <w:tcW w:w="2303" w:type="dxa"/>
          </w:tcPr>
          <w:p w:rsidR="006B1E78" w:rsidRDefault="006B1E78">
            <w:r>
              <w:t>383.3</w:t>
            </w:r>
          </w:p>
        </w:tc>
        <w:tc>
          <w:tcPr>
            <w:tcW w:w="2303" w:type="dxa"/>
          </w:tcPr>
          <w:p w:rsidR="006B1E78" w:rsidRDefault="006B1E78">
            <w:r>
              <w:t>69.5</w:t>
            </w:r>
          </w:p>
        </w:tc>
      </w:tr>
      <w:tr w:rsidR="006B1E78" w:rsidTr="0017467A">
        <w:tc>
          <w:tcPr>
            <w:tcW w:w="2053" w:type="dxa"/>
          </w:tcPr>
          <w:p w:rsidR="006B1E78" w:rsidRDefault="006B1E78">
            <w:r>
              <w:t>Nord-Pas de Calais</w:t>
            </w:r>
          </w:p>
        </w:tc>
        <w:tc>
          <w:tcPr>
            <w:tcW w:w="2303" w:type="dxa"/>
          </w:tcPr>
          <w:p w:rsidR="006B1E78" w:rsidRDefault="006B1E78">
            <w:r>
              <w:t>679.7</w:t>
            </w:r>
          </w:p>
        </w:tc>
        <w:tc>
          <w:tcPr>
            <w:tcW w:w="2303" w:type="dxa"/>
          </w:tcPr>
          <w:p w:rsidR="006B1E78" w:rsidRDefault="006B1E78">
            <w:r>
              <w:t>145.5</w:t>
            </w:r>
          </w:p>
        </w:tc>
      </w:tr>
      <w:tr w:rsidR="006B1E78" w:rsidTr="0017467A">
        <w:tc>
          <w:tcPr>
            <w:tcW w:w="2053" w:type="dxa"/>
          </w:tcPr>
          <w:p w:rsidR="006B1E78" w:rsidRDefault="006B1E78">
            <w:r>
              <w:t>PACA</w:t>
            </w:r>
          </w:p>
        </w:tc>
        <w:tc>
          <w:tcPr>
            <w:tcW w:w="2303" w:type="dxa"/>
          </w:tcPr>
          <w:p w:rsidR="006B1E78" w:rsidRDefault="006B1E78">
            <w:r>
              <w:t>286.9</w:t>
            </w:r>
          </w:p>
        </w:tc>
        <w:tc>
          <w:tcPr>
            <w:tcW w:w="2303" w:type="dxa"/>
          </w:tcPr>
          <w:p w:rsidR="006B1E78" w:rsidRDefault="006B1E78">
            <w:r>
              <w:t>149.6</w:t>
            </w:r>
          </w:p>
        </w:tc>
      </w:tr>
      <w:tr w:rsidR="006B1E78" w:rsidTr="0017467A">
        <w:tc>
          <w:tcPr>
            <w:tcW w:w="2053" w:type="dxa"/>
          </w:tcPr>
          <w:p w:rsidR="006B1E78" w:rsidRDefault="006B1E78">
            <w:r>
              <w:t>Pays de la Loire</w:t>
            </w:r>
          </w:p>
        </w:tc>
        <w:tc>
          <w:tcPr>
            <w:tcW w:w="2303" w:type="dxa"/>
          </w:tcPr>
          <w:p w:rsidR="006B1E78" w:rsidRDefault="006B1E78">
            <w:r>
              <w:t>305.5</w:t>
            </w:r>
          </w:p>
        </w:tc>
        <w:tc>
          <w:tcPr>
            <w:tcW w:w="2303" w:type="dxa"/>
          </w:tcPr>
          <w:p w:rsidR="006B1E78" w:rsidRDefault="006B1E78">
            <w:r>
              <w:t>73.7</w:t>
            </w:r>
          </w:p>
        </w:tc>
      </w:tr>
      <w:tr w:rsidR="006B1E78" w:rsidTr="0017467A">
        <w:tc>
          <w:tcPr>
            <w:tcW w:w="2053" w:type="dxa"/>
          </w:tcPr>
          <w:p w:rsidR="006B1E78" w:rsidRDefault="006B1E78">
            <w:r>
              <w:t>Picardie</w:t>
            </w:r>
          </w:p>
        </w:tc>
        <w:tc>
          <w:tcPr>
            <w:tcW w:w="2303" w:type="dxa"/>
          </w:tcPr>
          <w:p w:rsidR="006B1E78" w:rsidRDefault="006B1E78">
            <w:r>
              <w:t>221.7</w:t>
            </w:r>
          </w:p>
        </w:tc>
        <w:tc>
          <w:tcPr>
            <w:tcW w:w="2303" w:type="dxa"/>
          </w:tcPr>
          <w:p w:rsidR="006B1E78" w:rsidRDefault="006B1E78">
            <w:r>
              <w:t>70.1</w:t>
            </w:r>
          </w:p>
        </w:tc>
      </w:tr>
      <w:tr w:rsidR="006B1E78" w:rsidTr="0017467A">
        <w:tc>
          <w:tcPr>
            <w:tcW w:w="2053" w:type="dxa"/>
          </w:tcPr>
          <w:p w:rsidR="006B1E78" w:rsidRDefault="006B1E78">
            <w:r>
              <w:t>Poitou-Charentes</w:t>
            </w:r>
          </w:p>
        </w:tc>
        <w:tc>
          <w:tcPr>
            <w:tcW w:w="2303" w:type="dxa"/>
          </w:tcPr>
          <w:p w:rsidR="006B1E78" w:rsidRDefault="006B1E78">
            <w:r>
              <w:t>225.0</w:t>
            </w:r>
          </w:p>
        </w:tc>
        <w:tc>
          <w:tcPr>
            <w:tcW w:w="2303" w:type="dxa"/>
          </w:tcPr>
          <w:p w:rsidR="006B1E78" w:rsidRDefault="006B1E78">
            <w:r>
              <w:t>42.8</w:t>
            </w:r>
          </w:p>
        </w:tc>
      </w:tr>
      <w:tr w:rsidR="006B1E78" w:rsidTr="0017467A">
        <w:tc>
          <w:tcPr>
            <w:tcW w:w="2053" w:type="dxa"/>
          </w:tcPr>
          <w:p w:rsidR="006B1E78" w:rsidRDefault="006B1E78">
            <w:r>
              <w:t>Rhône-Alpes</w:t>
            </w:r>
          </w:p>
        </w:tc>
        <w:tc>
          <w:tcPr>
            <w:tcW w:w="2303" w:type="dxa"/>
          </w:tcPr>
          <w:p w:rsidR="006B1E78" w:rsidRDefault="006B1E78">
            <w:r>
              <w:t>367.4</w:t>
            </w:r>
          </w:p>
        </w:tc>
        <w:tc>
          <w:tcPr>
            <w:tcW w:w="2303" w:type="dxa"/>
          </w:tcPr>
          <w:p w:rsidR="006B1E78" w:rsidRDefault="006B1E78">
            <w:r>
              <w:t>141.5</w:t>
            </w:r>
          </w:p>
        </w:tc>
      </w:tr>
      <w:tr w:rsidR="006B1E78" w:rsidTr="0017467A">
        <w:tc>
          <w:tcPr>
            <w:tcW w:w="2053" w:type="dxa"/>
          </w:tcPr>
          <w:p w:rsidR="006B1E78" w:rsidRDefault="006B1E78">
            <w:r>
              <w:t>Guadeloupe</w:t>
            </w:r>
          </w:p>
        </w:tc>
        <w:tc>
          <w:tcPr>
            <w:tcW w:w="2303" w:type="dxa"/>
          </w:tcPr>
          <w:p w:rsidR="006B1E78" w:rsidRDefault="006B1E78">
            <w:r>
              <w:t>430.7</w:t>
            </w:r>
          </w:p>
        </w:tc>
        <w:tc>
          <w:tcPr>
            <w:tcW w:w="2303" w:type="dxa"/>
          </w:tcPr>
          <w:p w:rsidR="006B1E78" w:rsidRDefault="006B1E78">
            <w:r>
              <w:t>82.5</w:t>
            </w:r>
          </w:p>
        </w:tc>
      </w:tr>
      <w:tr w:rsidR="006B1E78" w:rsidTr="0017467A">
        <w:tc>
          <w:tcPr>
            <w:tcW w:w="2053" w:type="dxa"/>
          </w:tcPr>
          <w:p w:rsidR="006B1E78" w:rsidRDefault="006B1E78">
            <w:r>
              <w:t>Guyane</w:t>
            </w:r>
          </w:p>
        </w:tc>
        <w:tc>
          <w:tcPr>
            <w:tcW w:w="2303" w:type="dxa"/>
          </w:tcPr>
          <w:p w:rsidR="006B1E78" w:rsidRDefault="006B1E78">
            <w:r>
              <w:t>290.1</w:t>
            </w:r>
          </w:p>
        </w:tc>
        <w:tc>
          <w:tcPr>
            <w:tcW w:w="2303" w:type="dxa"/>
          </w:tcPr>
          <w:p w:rsidR="006B1E78" w:rsidRDefault="006B1E78">
            <w:r>
              <w:t>85.4</w:t>
            </w:r>
          </w:p>
        </w:tc>
      </w:tr>
      <w:tr w:rsidR="006B1E78" w:rsidTr="0017467A">
        <w:tc>
          <w:tcPr>
            <w:tcW w:w="2053" w:type="dxa"/>
          </w:tcPr>
          <w:p w:rsidR="006B1E78" w:rsidRDefault="006B1E78">
            <w:r>
              <w:t>Martinique</w:t>
            </w:r>
          </w:p>
        </w:tc>
        <w:tc>
          <w:tcPr>
            <w:tcW w:w="2303" w:type="dxa"/>
          </w:tcPr>
          <w:p w:rsidR="006B1E78" w:rsidRDefault="006B1E78">
            <w:r>
              <w:t>357.7</w:t>
            </w:r>
          </w:p>
        </w:tc>
        <w:tc>
          <w:tcPr>
            <w:tcW w:w="2303" w:type="dxa"/>
          </w:tcPr>
          <w:p w:rsidR="006B1E78" w:rsidRDefault="006B1E78">
            <w:r>
              <w:t>124.7</w:t>
            </w:r>
          </w:p>
        </w:tc>
      </w:tr>
      <w:tr w:rsidR="006B1E78" w:rsidTr="0017467A">
        <w:tc>
          <w:tcPr>
            <w:tcW w:w="2053" w:type="dxa"/>
          </w:tcPr>
          <w:p w:rsidR="006B1E78" w:rsidRDefault="006B1E78"/>
        </w:tc>
        <w:tc>
          <w:tcPr>
            <w:tcW w:w="2303" w:type="dxa"/>
          </w:tcPr>
          <w:p w:rsidR="006B1E78" w:rsidRDefault="006B1E78"/>
        </w:tc>
        <w:tc>
          <w:tcPr>
            <w:tcW w:w="2303" w:type="dxa"/>
          </w:tcPr>
          <w:p w:rsidR="006B1E78" w:rsidRDefault="006B1E78"/>
        </w:tc>
      </w:tr>
    </w:tbl>
    <w:p w:rsidR="006B1E78" w:rsidRDefault="006B1E78">
      <w:r>
        <w:t>La répartitions des allocations ci-dessous est indicative et pourra faire l’objet d’ajustements ultérieurs.</w:t>
      </w:r>
    </w:p>
    <w:p w:rsidR="00D00A29" w:rsidRPr="000942B1" w:rsidRDefault="00D00A29" w:rsidP="00D00A29">
      <w:pPr>
        <w:pStyle w:val="NormalWeb"/>
        <w:rPr>
          <w:rFonts w:asciiTheme="minorHAnsi" w:hAnsiTheme="minorHAnsi"/>
        </w:rPr>
      </w:pPr>
      <w:r w:rsidRPr="000942B1">
        <w:rPr>
          <w:rFonts w:asciiTheme="minorHAnsi" w:hAnsiTheme="minorHAnsi"/>
        </w:rPr>
        <w:t>Trois catégories de régions</w:t>
      </w:r>
      <w:r w:rsidRPr="000942B1">
        <w:rPr>
          <w:rFonts w:asciiTheme="minorHAnsi" w:hAnsiTheme="minorHAnsi"/>
        </w:rPr>
        <w:t>:</w:t>
      </w:r>
    </w:p>
    <w:p w:rsidR="00D00A29" w:rsidRPr="000942B1" w:rsidRDefault="00D00A29" w:rsidP="00D00A29">
      <w:pPr>
        <w:pStyle w:val="NormalWeb"/>
        <w:rPr>
          <w:rFonts w:asciiTheme="minorHAnsi" w:hAnsiTheme="minorHAnsi"/>
        </w:rPr>
      </w:pPr>
      <w:r w:rsidRPr="000942B1">
        <w:rPr>
          <w:rStyle w:val="lev"/>
          <w:rFonts w:asciiTheme="minorHAnsi" w:hAnsiTheme="minorHAnsi"/>
        </w:rPr>
        <w:t xml:space="preserve">L’Auvergne, la Basse Normandie, la Corse, le Nord Pas de Calais, la Franche Comté, la Picardie, la Lorraine, le Poitou-Charentes, le Limousin et le Languedoc Roussillon </w:t>
      </w:r>
      <w:r w:rsidRPr="000942B1">
        <w:rPr>
          <w:rFonts w:asciiTheme="minorHAnsi" w:hAnsiTheme="minorHAnsi"/>
        </w:rPr>
        <w:t>sont considérées comme régions en transition. C’est une nouvelle catégorie, avec un PIB moyen par habitant compris en 75 et 90% de la moyenne UE. Depuis le 12 juillet 2013, une souplesse a été introduite sur les priorités d’investissements obligatoires pour ces régions qui pourront n’y consacrer que 60% (contre 80% pour les autres). Ceci a pour conséquence une modification des planchers pour la priorité "</w:t>
      </w:r>
      <w:proofErr w:type="spellStart"/>
      <w:r w:rsidRPr="000942B1">
        <w:rPr>
          <w:rFonts w:asciiTheme="minorHAnsi" w:hAnsiTheme="minorHAnsi"/>
        </w:rPr>
        <w:t>Décarbonisation</w:t>
      </w:r>
      <w:proofErr w:type="spellEnd"/>
      <w:r w:rsidRPr="000942B1">
        <w:rPr>
          <w:rFonts w:asciiTheme="minorHAnsi" w:hAnsiTheme="minorHAnsi"/>
        </w:rPr>
        <w:t>" à savoir que les régions dites en transition devront consacrer au moins 15% de leur FEDER sur ce thème au lieu de 20% pour les régions les plus développées</w:t>
      </w:r>
      <w:r w:rsidRPr="000942B1">
        <w:rPr>
          <w:rFonts w:asciiTheme="minorHAnsi" w:hAnsiTheme="minorHAnsi"/>
        </w:rPr>
        <w:t>.</w:t>
      </w:r>
    </w:p>
    <w:p w:rsidR="00D00A29" w:rsidRPr="000942B1" w:rsidRDefault="00D00A29" w:rsidP="00D00A29">
      <w:pPr>
        <w:pStyle w:val="NormalWeb"/>
        <w:rPr>
          <w:rStyle w:val="lev"/>
          <w:rFonts w:asciiTheme="minorHAnsi" w:hAnsiTheme="minorHAnsi"/>
        </w:rPr>
      </w:pPr>
      <w:r w:rsidRPr="000942B1">
        <w:rPr>
          <w:rFonts w:asciiTheme="minorHAnsi" w:hAnsiTheme="minorHAnsi"/>
          <w:b/>
        </w:rPr>
        <w:lastRenderedPageBreak/>
        <w:t>La Guadeloupe, la Martinique, la Guyane et la Réunion</w:t>
      </w:r>
      <w:r w:rsidRPr="000942B1">
        <w:rPr>
          <w:rFonts w:asciiTheme="minorHAnsi" w:hAnsiTheme="minorHAnsi"/>
        </w:rPr>
        <w:t xml:space="preserve"> sont classées dans les régions les moins développées, dites en objectif convergence, qui ont un PIB/habitant inférieur à 75% du PIB moyen de l’UE. Ces régions pourront consacrer les fonds européens à une gamme plus importante d’objectifs par rapport aux 2 autres catégories. </w:t>
      </w:r>
    </w:p>
    <w:p w:rsidR="000942B1" w:rsidRDefault="00D00A29" w:rsidP="000942B1">
      <w:pPr>
        <w:pStyle w:val="NormalWeb"/>
        <w:rPr>
          <w:rFonts w:asciiTheme="minorHAnsi" w:hAnsiTheme="minorHAnsi"/>
        </w:rPr>
      </w:pPr>
      <w:r w:rsidRPr="000942B1">
        <w:rPr>
          <w:rFonts w:asciiTheme="minorHAnsi" w:hAnsiTheme="minorHAnsi"/>
          <w:b/>
        </w:rPr>
        <w:t>Toutes les autres régions</w:t>
      </w:r>
      <w:r w:rsidRPr="000942B1">
        <w:rPr>
          <w:rFonts w:asciiTheme="minorHAnsi" w:hAnsiTheme="minorHAnsi"/>
        </w:rPr>
        <w:t xml:space="preserve">, considérées comme les plus développées, sont en objectif compétitivité, avec un PIB/ habitant supérieur à 90% de la moyenne communautaire. Elles devront consacrer au moins 80% de leurs dotations à l’énergie, la compétitivité des PME et l’innovation. </w:t>
      </w:r>
    </w:p>
    <w:p w:rsidR="000942B1" w:rsidRPr="000942B1" w:rsidRDefault="000942B1" w:rsidP="000942B1">
      <w:pPr>
        <w:pStyle w:val="NormalWeb"/>
        <w:rPr>
          <w:rFonts w:asciiTheme="minorHAnsi" w:hAnsiTheme="minorHAnsi"/>
        </w:rPr>
      </w:pPr>
      <w:r w:rsidRPr="000942B1">
        <w:rPr>
          <w:rFonts w:asciiTheme="minorHAnsi" w:hAnsiTheme="minorHAnsi" w:cs="EUAlbertina"/>
          <w:color w:val="000000"/>
        </w:rPr>
        <w:t>Le classement des régions dans l'une des trois catégories de régions est déterminé sur la base du rapport entre le PIB par habitant de chaque région, mesuré en parités de pouvoir d'achat et calculé à partir des données de l'Union pour la période 2007-2009, et le PIB moyen de l'UE-27 pour la même période de référence.</w:t>
      </w:r>
    </w:p>
    <w:p w:rsidR="00D00A29" w:rsidRPr="000942B1" w:rsidRDefault="00D00A29"/>
    <w:sectPr w:rsidR="00D00A29" w:rsidRPr="000942B1" w:rsidSect="006B1E78">
      <w:pgSz w:w="11906" w:h="16838"/>
      <w:pgMar w:top="212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C9"/>
    <w:rsid w:val="000942B1"/>
    <w:rsid w:val="000D5F3A"/>
    <w:rsid w:val="0017467A"/>
    <w:rsid w:val="00207BAA"/>
    <w:rsid w:val="004A514B"/>
    <w:rsid w:val="004C7E3E"/>
    <w:rsid w:val="006B1E78"/>
    <w:rsid w:val="007F6C11"/>
    <w:rsid w:val="00BE03C9"/>
    <w:rsid w:val="00D00A29"/>
    <w:rsid w:val="00E37B66"/>
    <w:rsid w:val="00EA4F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E3E"/>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E03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00A29"/>
    <w:pPr>
      <w:spacing w:before="100" w:beforeAutospacing="1" w:after="100" w:afterAutospacing="1" w:line="240" w:lineRule="auto"/>
    </w:pPr>
    <w:rPr>
      <w:rFonts w:ascii="Times New Roman" w:eastAsia="Times New Roman" w:hAnsi="Times New Roman" w:cs="Times New Roman"/>
      <w:szCs w:val="24"/>
      <w:lang w:eastAsia="fr-FR"/>
    </w:rPr>
  </w:style>
  <w:style w:type="character" w:styleId="lev">
    <w:name w:val="Strong"/>
    <w:basedOn w:val="Policepardfaut"/>
    <w:uiPriority w:val="22"/>
    <w:qFormat/>
    <w:rsid w:val="00D00A29"/>
    <w:rPr>
      <w:b/>
      <w:bCs/>
    </w:rPr>
  </w:style>
  <w:style w:type="paragraph" w:customStyle="1" w:styleId="CM1">
    <w:name w:val="CM1"/>
    <w:basedOn w:val="Normal"/>
    <w:next w:val="Normal"/>
    <w:uiPriority w:val="99"/>
    <w:rsid w:val="000942B1"/>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rsid w:val="000942B1"/>
    <w:pPr>
      <w:autoSpaceDE w:val="0"/>
      <w:autoSpaceDN w:val="0"/>
      <w:adjustRightInd w:val="0"/>
      <w:spacing w:after="0" w:line="240" w:lineRule="auto"/>
    </w:pPr>
    <w:rPr>
      <w:rFonts w:ascii="EUAlbertina" w:hAnsi="EUAlbertin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E3E"/>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E03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00A29"/>
    <w:pPr>
      <w:spacing w:before="100" w:beforeAutospacing="1" w:after="100" w:afterAutospacing="1" w:line="240" w:lineRule="auto"/>
    </w:pPr>
    <w:rPr>
      <w:rFonts w:ascii="Times New Roman" w:eastAsia="Times New Roman" w:hAnsi="Times New Roman" w:cs="Times New Roman"/>
      <w:szCs w:val="24"/>
      <w:lang w:eastAsia="fr-FR"/>
    </w:rPr>
  </w:style>
  <w:style w:type="character" w:styleId="lev">
    <w:name w:val="Strong"/>
    <w:basedOn w:val="Policepardfaut"/>
    <w:uiPriority w:val="22"/>
    <w:qFormat/>
    <w:rsid w:val="00D00A29"/>
    <w:rPr>
      <w:b/>
      <w:bCs/>
    </w:rPr>
  </w:style>
  <w:style w:type="paragraph" w:customStyle="1" w:styleId="CM1">
    <w:name w:val="CM1"/>
    <w:basedOn w:val="Normal"/>
    <w:next w:val="Normal"/>
    <w:uiPriority w:val="99"/>
    <w:rsid w:val="000942B1"/>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rsid w:val="000942B1"/>
    <w:pPr>
      <w:autoSpaceDE w:val="0"/>
      <w:autoSpaceDN w:val="0"/>
      <w:adjustRightInd w:val="0"/>
      <w:spacing w:after="0" w:line="240" w:lineRule="auto"/>
    </w:pPr>
    <w:rPr>
      <w:rFonts w:ascii="EUAlbertina" w:hAnsi="EUAlberti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6092">
      <w:bodyDiv w:val="1"/>
      <w:marLeft w:val="0"/>
      <w:marRight w:val="0"/>
      <w:marTop w:val="0"/>
      <w:marBottom w:val="0"/>
      <w:divBdr>
        <w:top w:val="none" w:sz="0" w:space="0" w:color="auto"/>
        <w:left w:val="none" w:sz="0" w:space="0" w:color="auto"/>
        <w:bottom w:val="none" w:sz="0" w:space="0" w:color="auto"/>
        <w:right w:val="none" w:sz="0" w:space="0" w:color="auto"/>
      </w:divBdr>
      <w:divsChild>
        <w:div w:id="895122667">
          <w:marLeft w:val="0"/>
          <w:marRight w:val="0"/>
          <w:marTop w:val="0"/>
          <w:marBottom w:val="0"/>
          <w:divBdr>
            <w:top w:val="none" w:sz="0" w:space="0" w:color="auto"/>
            <w:left w:val="none" w:sz="0" w:space="0" w:color="auto"/>
            <w:bottom w:val="none" w:sz="0" w:space="0" w:color="auto"/>
            <w:right w:val="none" w:sz="0" w:space="0" w:color="auto"/>
          </w:divBdr>
          <w:divsChild>
            <w:div w:id="2035762142">
              <w:marLeft w:val="0"/>
              <w:marRight w:val="0"/>
              <w:marTop w:val="0"/>
              <w:marBottom w:val="0"/>
              <w:divBdr>
                <w:top w:val="none" w:sz="0" w:space="0" w:color="auto"/>
                <w:left w:val="none" w:sz="0" w:space="0" w:color="auto"/>
                <w:bottom w:val="none" w:sz="0" w:space="0" w:color="auto"/>
                <w:right w:val="none" w:sz="0" w:space="0" w:color="auto"/>
              </w:divBdr>
              <w:divsChild>
                <w:div w:id="1090735326">
                  <w:marLeft w:val="0"/>
                  <w:marRight w:val="0"/>
                  <w:marTop w:val="0"/>
                  <w:marBottom w:val="0"/>
                  <w:divBdr>
                    <w:top w:val="none" w:sz="0" w:space="0" w:color="auto"/>
                    <w:left w:val="none" w:sz="0" w:space="0" w:color="auto"/>
                    <w:bottom w:val="none" w:sz="0" w:space="0" w:color="auto"/>
                    <w:right w:val="none" w:sz="0" w:space="0" w:color="auto"/>
                  </w:divBdr>
                  <w:divsChild>
                    <w:div w:id="2134325650">
                      <w:marLeft w:val="0"/>
                      <w:marRight w:val="0"/>
                      <w:marTop w:val="0"/>
                      <w:marBottom w:val="0"/>
                      <w:divBdr>
                        <w:top w:val="none" w:sz="0" w:space="0" w:color="auto"/>
                        <w:left w:val="none" w:sz="0" w:space="0" w:color="auto"/>
                        <w:bottom w:val="none" w:sz="0" w:space="0" w:color="auto"/>
                        <w:right w:val="none" w:sz="0" w:space="0" w:color="auto"/>
                      </w:divBdr>
                      <w:divsChild>
                        <w:div w:id="7677361">
                          <w:marLeft w:val="0"/>
                          <w:marRight w:val="0"/>
                          <w:marTop w:val="0"/>
                          <w:marBottom w:val="0"/>
                          <w:divBdr>
                            <w:top w:val="none" w:sz="0" w:space="0" w:color="auto"/>
                            <w:left w:val="none" w:sz="0" w:space="0" w:color="auto"/>
                            <w:bottom w:val="none" w:sz="0" w:space="0" w:color="auto"/>
                            <w:right w:val="none" w:sz="0" w:space="0" w:color="auto"/>
                          </w:divBdr>
                          <w:divsChild>
                            <w:div w:id="3046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051514">
      <w:bodyDiv w:val="1"/>
      <w:marLeft w:val="0"/>
      <w:marRight w:val="0"/>
      <w:marTop w:val="0"/>
      <w:marBottom w:val="0"/>
      <w:divBdr>
        <w:top w:val="none" w:sz="0" w:space="0" w:color="auto"/>
        <w:left w:val="none" w:sz="0" w:space="0" w:color="auto"/>
        <w:bottom w:val="none" w:sz="0" w:space="0" w:color="auto"/>
        <w:right w:val="none" w:sz="0" w:space="0" w:color="auto"/>
      </w:divBdr>
      <w:divsChild>
        <w:div w:id="2147159637">
          <w:marLeft w:val="0"/>
          <w:marRight w:val="0"/>
          <w:marTop w:val="0"/>
          <w:marBottom w:val="0"/>
          <w:divBdr>
            <w:top w:val="none" w:sz="0" w:space="0" w:color="auto"/>
            <w:left w:val="none" w:sz="0" w:space="0" w:color="auto"/>
            <w:bottom w:val="none" w:sz="0" w:space="0" w:color="auto"/>
            <w:right w:val="none" w:sz="0" w:space="0" w:color="auto"/>
          </w:divBdr>
          <w:divsChild>
            <w:div w:id="949119527">
              <w:marLeft w:val="0"/>
              <w:marRight w:val="0"/>
              <w:marTop w:val="0"/>
              <w:marBottom w:val="0"/>
              <w:divBdr>
                <w:top w:val="none" w:sz="0" w:space="0" w:color="auto"/>
                <w:left w:val="none" w:sz="0" w:space="0" w:color="auto"/>
                <w:bottom w:val="none" w:sz="0" w:space="0" w:color="auto"/>
                <w:right w:val="none" w:sz="0" w:space="0" w:color="auto"/>
              </w:divBdr>
              <w:divsChild>
                <w:div w:id="2132820174">
                  <w:marLeft w:val="0"/>
                  <w:marRight w:val="0"/>
                  <w:marTop w:val="0"/>
                  <w:marBottom w:val="0"/>
                  <w:divBdr>
                    <w:top w:val="none" w:sz="0" w:space="0" w:color="auto"/>
                    <w:left w:val="none" w:sz="0" w:space="0" w:color="auto"/>
                    <w:bottom w:val="none" w:sz="0" w:space="0" w:color="auto"/>
                    <w:right w:val="none" w:sz="0" w:space="0" w:color="auto"/>
                  </w:divBdr>
                  <w:divsChild>
                    <w:div w:id="953243307">
                      <w:marLeft w:val="0"/>
                      <w:marRight w:val="0"/>
                      <w:marTop w:val="0"/>
                      <w:marBottom w:val="0"/>
                      <w:divBdr>
                        <w:top w:val="none" w:sz="0" w:space="0" w:color="auto"/>
                        <w:left w:val="none" w:sz="0" w:space="0" w:color="auto"/>
                        <w:bottom w:val="none" w:sz="0" w:space="0" w:color="auto"/>
                        <w:right w:val="none" w:sz="0" w:space="0" w:color="auto"/>
                      </w:divBdr>
                      <w:divsChild>
                        <w:div w:id="1828521242">
                          <w:marLeft w:val="0"/>
                          <w:marRight w:val="0"/>
                          <w:marTop w:val="0"/>
                          <w:marBottom w:val="0"/>
                          <w:divBdr>
                            <w:top w:val="none" w:sz="0" w:space="0" w:color="auto"/>
                            <w:left w:val="none" w:sz="0" w:space="0" w:color="auto"/>
                            <w:bottom w:val="none" w:sz="0" w:space="0" w:color="auto"/>
                            <w:right w:val="none" w:sz="0" w:space="0" w:color="auto"/>
                          </w:divBdr>
                          <w:divsChild>
                            <w:div w:id="10603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383</Words>
  <Characters>2110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dc:creator>
  <cp:lastModifiedBy>util</cp:lastModifiedBy>
  <cp:revision>3</cp:revision>
  <dcterms:created xsi:type="dcterms:W3CDTF">2014-01-14T12:43:00Z</dcterms:created>
  <dcterms:modified xsi:type="dcterms:W3CDTF">2014-01-15T14:06:00Z</dcterms:modified>
</cp:coreProperties>
</file>